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8905" w14:textId="77777777" w:rsidR="00193CEE" w:rsidRPr="00E20E30" w:rsidRDefault="00193CEE" w:rsidP="00B4738B">
      <w:pPr>
        <w:pStyle w:val="H1MCC"/>
        <w:rPr>
          <w:color w:val="007A78"/>
          <w:szCs w:val="72"/>
        </w:rPr>
      </w:pPr>
      <w:r w:rsidRPr="00E20E30">
        <w:rPr>
          <w:color w:val="007A78"/>
          <w:szCs w:val="72"/>
        </w:rPr>
        <w:t>Creative Zoning to Protect &amp; Expand Art Spaces</w:t>
      </w:r>
    </w:p>
    <w:p w14:paraId="4AA0CF1B" w14:textId="2AD128AC" w:rsidR="00621DD7" w:rsidRPr="00621DD7" w:rsidRDefault="00193CEE" w:rsidP="00621DD7">
      <w:pPr>
        <w:pStyle w:val="MCCHeadline"/>
        <w:rPr>
          <w:color w:val="000000"/>
          <w:szCs w:val="22"/>
        </w:rPr>
      </w:pPr>
      <w:r>
        <w:rPr>
          <w:color w:val="000000"/>
          <w:szCs w:val="22"/>
        </w:rPr>
        <w:t>A practitioner tip sheet</w:t>
      </w:r>
    </w:p>
    <w:p w14:paraId="4F57DB0D" w14:textId="6C1E1EB1" w:rsidR="00193CEE" w:rsidRPr="00193CEE" w:rsidRDefault="00193CEE" w:rsidP="00193CEE">
      <w:pPr>
        <w:pStyle w:val="MCCBody"/>
      </w:pPr>
      <w:r w:rsidRPr="00193CEE">
        <w:t>Taken from the</w:t>
      </w:r>
      <w:r>
        <w:rPr>
          <w:b/>
          <w:bCs/>
        </w:rPr>
        <w:t xml:space="preserve"> </w:t>
      </w:r>
      <w:r w:rsidRPr="00193CEE">
        <w:t xml:space="preserve">Creative Space Development Network Accelerator (DNA) Session </w:t>
      </w:r>
      <w:r w:rsidR="00C572F3">
        <w:t>in</w:t>
      </w:r>
      <w:r w:rsidRPr="00193CEE">
        <w:t xml:space="preserve"> June 2026</w:t>
      </w:r>
    </w:p>
    <w:p w14:paraId="787B5112" w14:textId="59EEA258" w:rsidR="00193CEE" w:rsidRPr="00193CEE" w:rsidRDefault="00193CEE" w:rsidP="00193CEE">
      <w:pPr>
        <w:pStyle w:val="MCCBody"/>
      </w:pPr>
      <w:r w:rsidRPr="00193CEE">
        <w:t>This session examines how municipal zoning tools</w:t>
      </w:r>
      <w:r>
        <w:t xml:space="preserve"> – </w:t>
      </w:r>
      <w:r w:rsidRPr="00193CEE">
        <w:t>including explicit use definitions, targeted overlay districts, and tight set-aside requirements</w:t>
      </w:r>
      <w:r>
        <w:t xml:space="preserve"> – </w:t>
      </w:r>
      <w:r w:rsidRPr="00193CEE">
        <w:t>can establish baseline protections and prevent the displacement of creative spaces. Planning experts illustrate how pairing proactive zoning strategies with Community Benefits Agreements, cultural trusts, and broad community coalitions creates durable leverage to preserve and expand arts infrastructure.</w:t>
      </w:r>
    </w:p>
    <w:p w14:paraId="5336D864" w14:textId="2E08C90D" w:rsidR="00193CEE" w:rsidRPr="00193CEE" w:rsidRDefault="00193CEE" w:rsidP="00193CEE">
      <w:pPr>
        <w:pStyle w:val="MCCBody"/>
      </w:pPr>
      <w:r w:rsidRPr="00193CEE">
        <w:rPr>
          <w:i/>
          <w:iCs/>
        </w:rPr>
        <w:t>Presenters</w:t>
      </w:r>
      <w:r w:rsidRPr="00193CEE">
        <w:rPr>
          <w:b/>
          <w:bCs/>
        </w:rPr>
        <w:t>:</w:t>
      </w:r>
      <w:r w:rsidRPr="00193CEE">
        <w:t xml:space="preserve"> Annis Sengupta, Director of Arts &amp; Culture Metropolitan Area Planning Council and Greg Jenkins, Former Executive Director Somerville Arts Council</w:t>
      </w:r>
      <w:r w:rsidR="00097AAB">
        <w:t>.</w:t>
      </w:r>
    </w:p>
    <w:p w14:paraId="7A1868C3" w14:textId="77777777" w:rsidR="00193CEE" w:rsidRPr="00193CEE" w:rsidRDefault="00193CEE" w:rsidP="00193CEE">
      <w:pPr>
        <w:pStyle w:val="MCCBody"/>
      </w:pPr>
      <w:r w:rsidRPr="00193CEE">
        <w:rPr>
          <w:b/>
          <w:bCs/>
        </w:rPr>
        <w:t>Zoning sets the rules, not the outcome:</w:t>
      </w:r>
      <w:r w:rsidRPr="00193CEE">
        <w:t xml:space="preserve"> Zoning alone cannot build or force arts space to exist; it creates incentives or disincentives for development.</w:t>
      </w:r>
    </w:p>
    <w:p w14:paraId="15780B63" w14:textId="600E0ED1" w:rsidR="00193CEE" w:rsidRPr="00193CEE" w:rsidRDefault="00193CEE" w:rsidP="00193CEE">
      <w:pPr>
        <w:pStyle w:val="MCCBody"/>
        <w:rPr>
          <w:i/>
          <w:iCs/>
        </w:rPr>
      </w:pPr>
      <w:r w:rsidRPr="00193CEE">
        <w:rPr>
          <w:b/>
          <w:bCs/>
        </w:rPr>
        <w:t xml:space="preserve">Name Your Arts Uses Before You Can Protect Them: </w:t>
      </w:r>
      <w:r w:rsidRPr="00193CEE">
        <w:t xml:space="preserve">Arts activity is often scattered across unrelated zoning categories — museums under "Educational Use," studios under "Business," dance under "Commercial Recreation."  Makerspaces and co-op studios frequently don't fit any category at all. </w:t>
      </w:r>
      <w:r w:rsidRPr="00193CEE">
        <w:rPr>
          <w:i/>
          <w:iCs/>
        </w:rPr>
        <w:t>Define creative uses explicitly so they can be tracked, protected, and incentivized.</w:t>
      </w:r>
    </w:p>
    <w:p w14:paraId="395982E6" w14:textId="77777777" w:rsidR="00193CEE" w:rsidRPr="00193CEE" w:rsidRDefault="00193CEE" w:rsidP="00193CEE">
      <w:pPr>
        <w:pStyle w:val="MCCBody"/>
      </w:pPr>
      <w:r w:rsidRPr="00193CEE">
        <w:rPr>
          <w:b/>
          <w:bCs/>
        </w:rPr>
        <w:t>Use Overlays &amp; Text Amendments for targeted changes:</w:t>
      </w:r>
      <w:r w:rsidRPr="00193CEE">
        <w:t xml:space="preserve"> Full citywide zoning overhauls are rare and take years. </w:t>
      </w:r>
      <w:r w:rsidRPr="00193CEE">
        <w:rPr>
          <w:i/>
          <w:iCs/>
        </w:rPr>
        <w:t>Overlay districts</w:t>
      </w:r>
      <w:r w:rsidRPr="00193CEE">
        <w:t xml:space="preserve"> (adding a </w:t>
      </w:r>
      <w:r w:rsidRPr="00193CEE">
        <w:lastRenderedPageBreak/>
        <w:t xml:space="preserve">new layer of rules to a specific area) and </w:t>
      </w:r>
      <w:r w:rsidRPr="00193CEE">
        <w:rPr>
          <w:i/>
          <w:iCs/>
        </w:rPr>
        <w:t>Zoning Text Amendments</w:t>
      </w:r>
      <w:r w:rsidRPr="00193CEE">
        <w:t xml:space="preserve"> (narrow adjustments to existing rules) are faster, surgical tools to resolve specific issues.</w:t>
      </w:r>
    </w:p>
    <w:p w14:paraId="39FF724B" w14:textId="77777777" w:rsidR="00193CEE" w:rsidRPr="00193CEE" w:rsidRDefault="00193CEE" w:rsidP="00193CEE">
      <w:pPr>
        <w:pStyle w:val="MCCBody"/>
      </w:pPr>
      <w:r w:rsidRPr="00193CEE">
        <w:t>These more surgical approaches allow you to fix one specific definitional problem, without reopening the whole code. For example: high parking minimums and strict change-of-use rules often kill projects before they start. Relaxing parking requirements for creative spaces in commercial or industrial corridors is a proven way to activate vacant space.</w:t>
      </w:r>
    </w:p>
    <w:p w14:paraId="17D07EB1" w14:textId="77777777" w:rsidR="00193CEE" w:rsidRPr="00193CEE" w:rsidRDefault="00193CEE" w:rsidP="00193CEE">
      <w:pPr>
        <w:pStyle w:val="MCCBody"/>
      </w:pPr>
      <w:r w:rsidRPr="00193CEE">
        <w:rPr>
          <w:b/>
          <w:bCs/>
        </w:rPr>
        <w:t>Proactively Assess Risk:</w:t>
      </w:r>
      <w:r w:rsidRPr="00193CEE">
        <w:t xml:space="preserve"> Monitor commercial development pipelines, transit expansions, and allowable floor-area ratios (FAR) to identify vulnerable artist hubs before displacement happens.</w:t>
      </w:r>
    </w:p>
    <w:p w14:paraId="3498FECE" w14:textId="77777777" w:rsidR="00193CEE" w:rsidRPr="00193CEE" w:rsidRDefault="00193CEE" w:rsidP="00193CEE">
      <w:pPr>
        <w:pStyle w:val="MCCBody"/>
      </w:pPr>
      <w:r w:rsidRPr="00193CEE">
        <w:rPr>
          <w:b/>
          <w:bCs/>
        </w:rPr>
        <w:t xml:space="preserve">Designing &amp; Refining Set-Asides: </w:t>
      </w:r>
      <w:r w:rsidRPr="00193CEE">
        <w:t xml:space="preserve">If you pass an arts set-aside (e.g., requiring 5% of new large developments to go toward creative use), ensure the definition is tight. Broad terms like "innovation," "co-working," or "makerspace" can give developers a loophole to fulfill arts requirements with generic office space. Split true </w:t>
      </w:r>
      <w:r w:rsidRPr="00193CEE">
        <w:rPr>
          <w:i/>
          <w:iCs/>
        </w:rPr>
        <w:t>Arts/Artisanal</w:t>
      </w:r>
      <w:r w:rsidRPr="00193CEE">
        <w:t xml:space="preserve"> uses from </w:t>
      </w:r>
      <w:r w:rsidRPr="00193CEE">
        <w:rPr>
          <w:i/>
          <w:iCs/>
        </w:rPr>
        <w:t>Innovation/Design Services</w:t>
      </w:r>
      <w:r w:rsidRPr="00193CEE">
        <w:t xml:space="preserve"> so only genuine arts uses qualify.</w:t>
      </w:r>
    </w:p>
    <w:p w14:paraId="6C73E8A5" w14:textId="581B17E0" w:rsidR="00193CEE" w:rsidRPr="00193CEE" w:rsidRDefault="00193CEE" w:rsidP="00193CEE">
      <w:pPr>
        <w:pStyle w:val="MCCBody"/>
      </w:pPr>
      <w:r w:rsidRPr="00193CEE">
        <w:t xml:space="preserve">Somerville's 2025 fix split ACE into three separate categories </w:t>
      </w:r>
      <w:r>
        <w:t xml:space="preserve">– </w:t>
      </w:r>
      <w:r w:rsidRPr="00193CEE">
        <w:t xml:space="preserve">Arts, Artisanal, and Innovation </w:t>
      </w:r>
      <w:r>
        <w:t xml:space="preserve">– </w:t>
      </w:r>
      <w:r w:rsidRPr="00193CEE">
        <w:t>and excluded Innovation from counting toward the requirement.</w:t>
      </w:r>
    </w:p>
    <w:p w14:paraId="35B0EA8B" w14:textId="77777777" w:rsidR="00193CEE" w:rsidRPr="00193CEE" w:rsidRDefault="00193CEE" w:rsidP="00193CEE">
      <w:pPr>
        <w:pStyle w:val="MCCBody"/>
      </w:pPr>
      <w:r w:rsidRPr="00193CEE">
        <w:rPr>
          <w:b/>
          <w:bCs/>
        </w:rPr>
        <w:t>Zoning gaps create negotiating power:</w:t>
      </w:r>
      <w:r w:rsidRPr="00193CEE">
        <w:t xml:space="preserve"> When a developer asks for a zoning variance or density relief (e.g., asking to build 16 stories in a 4-story zone), the community gains major leverage.</w:t>
      </w:r>
    </w:p>
    <w:p w14:paraId="5F229FD9" w14:textId="77777777" w:rsidR="00193CEE" w:rsidRPr="00193CEE" w:rsidRDefault="00193CEE" w:rsidP="00193CEE">
      <w:pPr>
        <w:pStyle w:val="MCCBody"/>
      </w:pPr>
      <w:r w:rsidRPr="00193CEE">
        <w:rPr>
          <w:b/>
          <w:bCs/>
        </w:rPr>
        <w:t>Secure Community Benefits Agreements (CBAs):</w:t>
      </w:r>
      <w:r w:rsidRPr="00193CEE">
        <w:t xml:space="preserve"> Use development review processes to negotiate legally binding, privately enforced CBAs. This can secure below-market spaces, dedicated music venues, or specific facility commitments directly from developers.</w:t>
      </w:r>
    </w:p>
    <w:p w14:paraId="4E5B415D" w14:textId="77777777" w:rsidR="00193CEE" w:rsidRPr="00193CEE" w:rsidRDefault="00193CEE" w:rsidP="00193CEE">
      <w:pPr>
        <w:pStyle w:val="MCCBody"/>
      </w:pPr>
      <w:r w:rsidRPr="00193CEE">
        <w:rPr>
          <w:b/>
          <w:bCs/>
        </w:rPr>
        <w:t>Build broad coalitions:</w:t>
      </w:r>
      <w:r w:rsidRPr="00193CEE">
        <w:t xml:space="preserve"> Successful space preservation links arts advocates with neighborhood councils, housing activists, land trusts, and labor groups.</w:t>
      </w:r>
    </w:p>
    <w:p w14:paraId="1DE77E74" w14:textId="77777777" w:rsidR="00193CEE" w:rsidRPr="00E20E30" w:rsidRDefault="00193CEE" w:rsidP="00C572F3">
      <w:pPr>
        <w:pStyle w:val="Heading2"/>
        <w:rPr>
          <w:color w:val="C45500"/>
        </w:rPr>
      </w:pPr>
      <w:r w:rsidRPr="00E20E30">
        <w:rPr>
          <w:color w:val="C45500"/>
        </w:rPr>
        <w:t>Case Study Snapshot: Somerville, MA</w:t>
      </w:r>
    </w:p>
    <w:p w14:paraId="54EAF0AC" w14:textId="77777777" w:rsidR="00193CEE" w:rsidRPr="00193CEE" w:rsidRDefault="00193CEE" w:rsidP="00C572F3">
      <w:pPr>
        <w:pStyle w:val="MCCMultibullet0"/>
      </w:pPr>
      <w:r w:rsidRPr="00193CEE">
        <w:rPr>
          <w:b/>
          <w:bCs/>
        </w:rPr>
        <w:t>2009 (Union Square Overlay):</w:t>
      </w:r>
      <w:r w:rsidRPr="00193CEE">
        <w:t xml:space="preserve"> Defined artist studio space as a home occupation and eliminated parking minimums for arts-related changes of use.</w:t>
      </w:r>
    </w:p>
    <w:p w14:paraId="541FC9BB" w14:textId="77777777" w:rsidR="00193CEE" w:rsidRPr="00193CEE" w:rsidRDefault="00193CEE" w:rsidP="00C572F3">
      <w:pPr>
        <w:pStyle w:val="MCCMultibullet0"/>
      </w:pPr>
      <w:r w:rsidRPr="00193CEE">
        <w:rPr>
          <w:b/>
          <w:bCs/>
        </w:rPr>
        <w:lastRenderedPageBreak/>
        <w:t>2019 (Citywide Overhaul):</w:t>
      </w:r>
      <w:r w:rsidRPr="00193CEE">
        <w:t xml:space="preserve"> Created Fabrication Districts and a 5% Arts &amp; Creative Enterprise (ACE) set-aside for commercial developments over 50k sq ft.</w:t>
      </w:r>
    </w:p>
    <w:p w14:paraId="628ADD34" w14:textId="2D63D77B" w:rsidR="00193CEE" w:rsidRPr="00193CEE" w:rsidRDefault="00193CEE" w:rsidP="00C572F3">
      <w:pPr>
        <w:pStyle w:val="MCCMultibullet0"/>
      </w:pPr>
      <w:r w:rsidRPr="00193CEE">
        <w:rPr>
          <w:b/>
          <w:bCs/>
        </w:rPr>
        <w:t>2025 (ACE Refinement):</w:t>
      </w:r>
      <w:r w:rsidRPr="00193CEE">
        <w:t xml:space="preserve"> Fixed a loophole by splitting ACE into </w:t>
      </w:r>
      <w:r w:rsidRPr="00193CEE">
        <w:rPr>
          <w:i/>
          <w:iCs/>
        </w:rPr>
        <w:t>Arts</w:t>
      </w:r>
      <w:r w:rsidRPr="00193CEE">
        <w:t xml:space="preserve">, </w:t>
      </w:r>
      <w:r w:rsidRPr="00193CEE">
        <w:rPr>
          <w:i/>
          <w:iCs/>
        </w:rPr>
        <w:t>Artisanal</w:t>
      </w:r>
      <w:r w:rsidRPr="00193CEE">
        <w:t xml:space="preserve">, and </w:t>
      </w:r>
      <w:r w:rsidRPr="00193CEE">
        <w:rPr>
          <w:i/>
          <w:iCs/>
        </w:rPr>
        <w:t>Innovation</w:t>
      </w:r>
      <w:r>
        <w:t xml:space="preserve"> – </w:t>
      </w:r>
      <w:r w:rsidRPr="00193CEE">
        <w:t>disqualifying generic co-working/office space from meeting the 5% requirement.</w:t>
      </w:r>
    </w:p>
    <w:p w14:paraId="0454FEAB" w14:textId="6A4E4BFE" w:rsidR="00193CEE" w:rsidRPr="00193CEE" w:rsidRDefault="00193CEE" w:rsidP="00193CEE">
      <w:pPr>
        <w:pStyle w:val="MCCBody"/>
        <w:rPr>
          <w:b/>
          <w:bCs/>
        </w:rPr>
      </w:pPr>
      <w:r w:rsidRPr="00193CEE">
        <w:rPr>
          <w:b/>
          <w:bCs/>
        </w:rPr>
        <w:t xml:space="preserve">Zoning Alone Won't Solve Displacement </w:t>
      </w:r>
      <w:r>
        <w:t xml:space="preserve">– </w:t>
      </w:r>
      <w:r w:rsidRPr="00193CEE">
        <w:t>Layer in Other Tools</w:t>
      </w:r>
    </w:p>
    <w:p w14:paraId="4BBA9361" w14:textId="77777777" w:rsidR="00193CEE" w:rsidRPr="00193CEE" w:rsidRDefault="00193CEE" w:rsidP="00C572F3">
      <w:pPr>
        <w:pStyle w:val="MCCMultibullet0"/>
      </w:pPr>
      <w:r w:rsidRPr="00193CEE">
        <w:rPr>
          <w:b/>
          <w:bCs/>
        </w:rPr>
        <w:t>Community Benefits Agreements</w:t>
      </w:r>
      <w:r w:rsidRPr="00193CEE">
        <w:t xml:space="preserve"> (privately negotiated and enforced, separate from zoning)</w:t>
      </w:r>
    </w:p>
    <w:p w14:paraId="4FB4BEFD" w14:textId="77777777" w:rsidR="00193CEE" w:rsidRPr="00193CEE" w:rsidRDefault="00193CEE" w:rsidP="00C572F3">
      <w:pPr>
        <w:pStyle w:val="MCCMultibullet0"/>
      </w:pPr>
      <w:r w:rsidRPr="00193CEE">
        <w:rPr>
          <w:b/>
          <w:bCs/>
        </w:rPr>
        <w:t>Cultural trusts</w:t>
      </w:r>
      <w:r w:rsidRPr="00193CEE">
        <w:t xml:space="preserve"> to hold funding and real property </w:t>
      </w:r>
    </w:p>
    <w:p w14:paraId="640FC613" w14:textId="77777777" w:rsidR="00193CEE" w:rsidRPr="00193CEE" w:rsidRDefault="00193CEE" w:rsidP="00C572F3">
      <w:pPr>
        <w:pStyle w:val="MCCMultibullet0"/>
      </w:pPr>
      <w:r w:rsidRPr="00193CEE">
        <w:rPr>
          <w:b/>
          <w:bCs/>
        </w:rPr>
        <w:t>Tax deferrals</w:t>
      </w:r>
      <w:r w:rsidRPr="00193CEE">
        <w:t xml:space="preserve"> in exchange for affordability commitments</w:t>
      </w:r>
    </w:p>
    <w:p w14:paraId="4C2EC2C2" w14:textId="77777777" w:rsidR="00193CEE" w:rsidRPr="00193CEE" w:rsidRDefault="00193CEE" w:rsidP="00C572F3">
      <w:pPr>
        <w:pStyle w:val="MCCMultibullet0"/>
      </w:pPr>
      <w:r w:rsidRPr="00193CEE">
        <w:rPr>
          <w:b/>
          <w:bCs/>
        </w:rPr>
        <w:t>Linkage fees</w:t>
      </w:r>
      <w:r w:rsidRPr="00193CEE">
        <w:t xml:space="preserve"> on large commercial development</w:t>
      </w:r>
    </w:p>
    <w:p w14:paraId="47BED26A" w14:textId="27B8DDB2" w:rsidR="00193CEE" w:rsidRPr="00193CEE" w:rsidRDefault="00193CEE" w:rsidP="00C572F3">
      <w:pPr>
        <w:pStyle w:val="MCCMultibullet0"/>
      </w:pPr>
      <w:r w:rsidRPr="00193CEE">
        <w:rPr>
          <w:b/>
          <w:bCs/>
        </w:rPr>
        <w:t>In-lieu cash payments</w:t>
      </w:r>
      <w:r w:rsidRPr="00193CEE">
        <w:t xml:space="preserve"> pooled across small, hard-to-fill set-asides (one modeled example: $1.7M pooled over 10 years from four sub-1,000-sq-ft set-asides)</w:t>
      </w:r>
    </w:p>
    <w:p w14:paraId="7E9B0B5D" w14:textId="77777777" w:rsidR="00193CEE" w:rsidRPr="00193CEE" w:rsidRDefault="00193CEE" w:rsidP="00193CEE">
      <w:pPr>
        <w:pStyle w:val="MCCBody"/>
      </w:pPr>
      <w:r w:rsidRPr="00193CEE">
        <w:t>Arts-space preservation is following in the footsteps of affordable housing policy. To prevent displacement, communities must combine clear zoning definitions and set-asides with proactive advocacy, Community Benefits Agreements and municipal trust models. In many cases, the legal and political groundwork has often already been laid.</w:t>
      </w:r>
    </w:p>
    <w:p w14:paraId="1D0FED57" w14:textId="77777777" w:rsidR="00193CEE" w:rsidRPr="00193CEE" w:rsidRDefault="00193CEE" w:rsidP="00193CEE">
      <w:pPr>
        <w:pStyle w:val="MCCBody"/>
      </w:pPr>
    </w:p>
    <w:p w14:paraId="39750E30" w14:textId="6A19937D" w:rsidR="003D63E3" w:rsidRPr="000712C2" w:rsidRDefault="003D63E3" w:rsidP="00193CEE">
      <w:pPr>
        <w:pStyle w:val="MCCBody"/>
      </w:pPr>
    </w:p>
    <w:sectPr w:rsidR="003D63E3" w:rsidRPr="000712C2" w:rsidSect="004A6D76">
      <w:headerReference w:type="default" r:id="rId11"/>
      <w:footerReference w:type="default" r:id="rId12"/>
      <w:headerReference w:type="first" r:id="rId13"/>
      <w:footerReference w:type="first" r:id="rId14"/>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27AD7" w14:textId="77777777" w:rsidR="00FA0272" w:rsidRDefault="00FA0272" w:rsidP="00434BF1">
      <w:r>
        <w:separator/>
      </w:r>
    </w:p>
  </w:endnote>
  <w:endnote w:type="continuationSeparator" w:id="0">
    <w:p w14:paraId="7E085B62" w14:textId="77777777" w:rsidR="00FA0272" w:rsidRDefault="00FA0272"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E19F" w14:textId="77777777" w:rsidR="00FA0272" w:rsidRDefault="00FA0272" w:rsidP="00434BF1">
      <w:r>
        <w:separator/>
      </w:r>
    </w:p>
  </w:footnote>
  <w:footnote w:type="continuationSeparator" w:id="0">
    <w:p w14:paraId="4D9A52C3" w14:textId="77777777" w:rsidR="00FA0272" w:rsidRDefault="00FA0272"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b/>
        <w:bCs/>
        <w:color w:val="5F514B"/>
      </w:rPr>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18AECB1"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16E2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C4E9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274470F"/>
    <w:multiLevelType w:val="multilevel"/>
    <w:tmpl w:val="BAC8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6" w15:restartNumberingAfterBreak="0">
    <w:nsid w:val="0B1972FB"/>
    <w:multiLevelType w:val="multilevel"/>
    <w:tmpl w:val="BC3CF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166442"/>
    <w:multiLevelType w:val="hybridMultilevel"/>
    <w:tmpl w:val="06BA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D11A2D"/>
    <w:multiLevelType w:val="multilevel"/>
    <w:tmpl w:val="18A26A32"/>
    <w:numStyleLink w:val="MCCMultilist"/>
  </w:abstractNum>
  <w:abstractNum w:abstractNumId="19" w15:restartNumberingAfterBreak="0">
    <w:nsid w:val="17EB460B"/>
    <w:multiLevelType w:val="multilevel"/>
    <w:tmpl w:val="55BCA838"/>
    <w:numStyleLink w:val="MCCBullets"/>
  </w:abstractNum>
  <w:abstractNum w:abstractNumId="20"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FE4151E"/>
    <w:multiLevelType w:val="hybridMultilevel"/>
    <w:tmpl w:val="909C3486"/>
    <w:lvl w:ilvl="0" w:tplc="84F4FE5E">
      <w:start w:val="1"/>
      <w:numFmt w:val="bullet"/>
      <w:lvlText w:val=""/>
      <w:lvlJc w:val="left"/>
      <w:pPr>
        <w:ind w:left="1080" w:hanging="360"/>
      </w:pPr>
      <w:rPr>
        <w:rFonts w:ascii="Symbol" w:hAnsi="Symbol"/>
      </w:rPr>
    </w:lvl>
    <w:lvl w:ilvl="1" w:tplc="046CDF64">
      <w:start w:val="1"/>
      <w:numFmt w:val="bullet"/>
      <w:lvlText w:val=""/>
      <w:lvlJc w:val="left"/>
      <w:pPr>
        <w:ind w:left="1080" w:hanging="360"/>
      </w:pPr>
      <w:rPr>
        <w:rFonts w:ascii="Symbol" w:hAnsi="Symbol"/>
      </w:rPr>
    </w:lvl>
    <w:lvl w:ilvl="2" w:tplc="B478EABE">
      <w:start w:val="1"/>
      <w:numFmt w:val="bullet"/>
      <w:lvlText w:val=""/>
      <w:lvlJc w:val="left"/>
      <w:pPr>
        <w:ind w:left="1080" w:hanging="360"/>
      </w:pPr>
      <w:rPr>
        <w:rFonts w:ascii="Symbol" w:hAnsi="Symbol"/>
      </w:rPr>
    </w:lvl>
    <w:lvl w:ilvl="3" w:tplc="FE3628D4">
      <w:start w:val="1"/>
      <w:numFmt w:val="bullet"/>
      <w:lvlText w:val=""/>
      <w:lvlJc w:val="left"/>
      <w:pPr>
        <w:ind w:left="1080" w:hanging="360"/>
      </w:pPr>
      <w:rPr>
        <w:rFonts w:ascii="Symbol" w:hAnsi="Symbol"/>
      </w:rPr>
    </w:lvl>
    <w:lvl w:ilvl="4" w:tplc="BBB6B76C">
      <w:start w:val="1"/>
      <w:numFmt w:val="bullet"/>
      <w:lvlText w:val=""/>
      <w:lvlJc w:val="left"/>
      <w:pPr>
        <w:ind w:left="1080" w:hanging="360"/>
      </w:pPr>
      <w:rPr>
        <w:rFonts w:ascii="Symbol" w:hAnsi="Symbol"/>
      </w:rPr>
    </w:lvl>
    <w:lvl w:ilvl="5" w:tplc="432ECA7C">
      <w:start w:val="1"/>
      <w:numFmt w:val="bullet"/>
      <w:lvlText w:val=""/>
      <w:lvlJc w:val="left"/>
      <w:pPr>
        <w:ind w:left="1080" w:hanging="360"/>
      </w:pPr>
      <w:rPr>
        <w:rFonts w:ascii="Symbol" w:hAnsi="Symbol"/>
      </w:rPr>
    </w:lvl>
    <w:lvl w:ilvl="6" w:tplc="A600BB84">
      <w:start w:val="1"/>
      <w:numFmt w:val="bullet"/>
      <w:lvlText w:val=""/>
      <w:lvlJc w:val="left"/>
      <w:pPr>
        <w:ind w:left="1080" w:hanging="360"/>
      </w:pPr>
      <w:rPr>
        <w:rFonts w:ascii="Symbol" w:hAnsi="Symbol"/>
      </w:rPr>
    </w:lvl>
    <w:lvl w:ilvl="7" w:tplc="3586E1EA">
      <w:start w:val="1"/>
      <w:numFmt w:val="bullet"/>
      <w:lvlText w:val=""/>
      <w:lvlJc w:val="left"/>
      <w:pPr>
        <w:ind w:left="1080" w:hanging="360"/>
      </w:pPr>
      <w:rPr>
        <w:rFonts w:ascii="Symbol" w:hAnsi="Symbol"/>
      </w:rPr>
    </w:lvl>
    <w:lvl w:ilvl="8" w:tplc="57EEC892">
      <w:start w:val="1"/>
      <w:numFmt w:val="bullet"/>
      <w:lvlText w:val=""/>
      <w:lvlJc w:val="left"/>
      <w:pPr>
        <w:ind w:left="1080" w:hanging="360"/>
      </w:pPr>
      <w:rPr>
        <w:rFonts w:ascii="Symbol" w:hAnsi="Symbol"/>
      </w:rPr>
    </w:lvl>
  </w:abstractNum>
  <w:abstractNum w:abstractNumId="22" w15:restartNumberingAfterBreak="0">
    <w:nsid w:val="2A373069"/>
    <w:multiLevelType w:val="multilevel"/>
    <w:tmpl w:val="B4DA8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7"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4DC69EE"/>
    <w:multiLevelType w:val="hybridMultilevel"/>
    <w:tmpl w:val="55BCA838"/>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35248A"/>
    <w:multiLevelType w:val="multilevel"/>
    <w:tmpl w:val="A22AB886"/>
    <w:numStyleLink w:val="MCCMultiBullet"/>
  </w:abstractNum>
  <w:abstractNum w:abstractNumId="34"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C6D5CF3"/>
    <w:multiLevelType w:val="multilevel"/>
    <w:tmpl w:val="58AC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4834968">
    <w:abstractNumId w:val="29"/>
  </w:num>
  <w:num w:numId="2" w16cid:durableId="794755623">
    <w:abstractNumId w:val="34"/>
  </w:num>
  <w:num w:numId="3" w16cid:durableId="880361686">
    <w:abstractNumId w:val="24"/>
  </w:num>
  <w:num w:numId="4" w16cid:durableId="963538179">
    <w:abstractNumId w:val="28"/>
  </w:num>
  <w:num w:numId="5" w16cid:durableId="24991640">
    <w:abstractNumId w:val="36"/>
  </w:num>
  <w:num w:numId="6" w16cid:durableId="1147864709">
    <w:abstractNumId w:val="32"/>
  </w:num>
  <w:num w:numId="7" w16cid:durableId="1851214756">
    <w:abstractNumId w:val="18"/>
  </w:num>
  <w:num w:numId="8" w16cid:durableId="335495109">
    <w:abstractNumId w:val="38"/>
  </w:num>
  <w:num w:numId="9" w16cid:durableId="2016348071">
    <w:abstractNumId w:val="20"/>
  </w:num>
  <w:num w:numId="10" w16cid:durableId="1426654188">
    <w:abstractNumId w:val="14"/>
  </w:num>
  <w:num w:numId="11" w16cid:durableId="2111464626">
    <w:abstractNumId w:val="23"/>
  </w:num>
  <w:num w:numId="12" w16cid:durableId="1499884700">
    <w:abstractNumId w:val="31"/>
  </w:num>
  <w:num w:numId="13" w16cid:durableId="1281957361">
    <w:abstractNumId w:val="37"/>
  </w:num>
  <w:num w:numId="14" w16cid:durableId="432942080">
    <w:abstractNumId w:val="2"/>
  </w:num>
  <w:num w:numId="15" w16cid:durableId="666128129">
    <w:abstractNumId w:val="3"/>
  </w:num>
  <w:num w:numId="16" w16cid:durableId="1479107190">
    <w:abstractNumId w:val="4"/>
  </w:num>
  <w:num w:numId="17" w16cid:durableId="121388377">
    <w:abstractNumId w:val="5"/>
  </w:num>
  <w:num w:numId="18" w16cid:durableId="1691561803">
    <w:abstractNumId w:val="6"/>
  </w:num>
  <w:num w:numId="19" w16cid:durableId="400755429">
    <w:abstractNumId w:val="11"/>
  </w:num>
  <w:num w:numId="20" w16cid:durableId="1793131593">
    <w:abstractNumId w:val="7"/>
  </w:num>
  <w:num w:numId="21" w16cid:durableId="896554539">
    <w:abstractNumId w:val="8"/>
  </w:num>
  <w:num w:numId="22" w16cid:durableId="1137071595">
    <w:abstractNumId w:val="9"/>
  </w:num>
  <w:num w:numId="23" w16cid:durableId="1371805676">
    <w:abstractNumId w:val="10"/>
  </w:num>
  <w:num w:numId="24" w16cid:durableId="1547260566">
    <w:abstractNumId w:val="12"/>
  </w:num>
  <w:num w:numId="25" w16cid:durableId="1769155389">
    <w:abstractNumId w:val="25"/>
  </w:num>
  <w:num w:numId="26" w16cid:durableId="219486490">
    <w:abstractNumId w:val="27"/>
  </w:num>
  <w:num w:numId="27" w16cid:durableId="1167019587">
    <w:abstractNumId w:val="11"/>
  </w:num>
  <w:num w:numId="28" w16cid:durableId="73163433">
    <w:abstractNumId w:val="18"/>
  </w:num>
  <w:num w:numId="29" w16cid:durableId="276567564">
    <w:abstractNumId w:val="30"/>
  </w:num>
  <w:num w:numId="30" w16cid:durableId="403337564">
    <w:abstractNumId w:val="19"/>
  </w:num>
  <w:num w:numId="31" w16cid:durableId="201941781">
    <w:abstractNumId w:val="33"/>
  </w:num>
  <w:num w:numId="32" w16cid:durableId="213392126">
    <w:abstractNumId w:val="21"/>
  </w:num>
  <w:num w:numId="33" w16cid:durableId="1274630676">
    <w:abstractNumId w:val="17"/>
  </w:num>
  <w:num w:numId="34" w16cid:durableId="416172319">
    <w:abstractNumId w:val="35"/>
  </w:num>
  <w:num w:numId="35" w16cid:durableId="1771703570">
    <w:abstractNumId w:val="13"/>
  </w:num>
  <w:num w:numId="36" w16cid:durableId="1669211132">
    <w:abstractNumId w:val="26"/>
  </w:num>
  <w:num w:numId="37" w16cid:durableId="1030451513">
    <w:abstractNumId w:val="15"/>
  </w:num>
  <w:num w:numId="38" w16cid:durableId="3841864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304955">
    <w:abstractNumId w:val="0"/>
  </w:num>
  <w:num w:numId="40" w16cid:durableId="653686035">
    <w:abstractNumId w:val="1"/>
  </w:num>
  <w:num w:numId="41" w16cid:durableId="1832983879">
    <w:abstractNumId w:val="16"/>
  </w:num>
  <w:num w:numId="42" w16cid:durableId="20484829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52AAC"/>
    <w:rsid w:val="00065714"/>
    <w:rsid w:val="00066D21"/>
    <w:rsid w:val="0007050E"/>
    <w:rsid w:val="000707A5"/>
    <w:rsid w:val="000712C2"/>
    <w:rsid w:val="00075291"/>
    <w:rsid w:val="000753B8"/>
    <w:rsid w:val="00075E7C"/>
    <w:rsid w:val="00076162"/>
    <w:rsid w:val="000802CA"/>
    <w:rsid w:val="0009040E"/>
    <w:rsid w:val="00093593"/>
    <w:rsid w:val="00096C68"/>
    <w:rsid w:val="00097593"/>
    <w:rsid w:val="00097836"/>
    <w:rsid w:val="00097AAB"/>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4BE0"/>
    <w:rsid w:val="000F784D"/>
    <w:rsid w:val="00100841"/>
    <w:rsid w:val="00100867"/>
    <w:rsid w:val="00100A56"/>
    <w:rsid w:val="00101167"/>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93CEE"/>
    <w:rsid w:val="001A08D9"/>
    <w:rsid w:val="001A09B0"/>
    <w:rsid w:val="001A3217"/>
    <w:rsid w:val="001A6ABA"/>
    <w:rsid w:val="001D0ED7"/>
    <w:rsid w:val="001D4998"/>
    <w:rsid w:val="001D6E2E"/>
    <w:rsid w:val="001E374B"/>
    <w:rsid w:val="001F4270"/>
    <w:rsid w:val="001F45FE"/>
    <w:rsid w:val="001F57DC"/>
    <w:rsid w:val="001F5E5A"/>
    <w:rsid w:val="001F74FF"/>
    <w:rsid w:val="002001E5"/>
    <w:rsid w:val="002104E6"/>
    <w:rsid w:val="002116BF"/>
    <w:rsid w:val="002163A2"/>
    <w:rsid w:val="00220C59"/>
    <w:rsid w:val="0022274C"/>
    <w:rsid w:val="00223A75"/>
    <w:rsid w:val="00225D3C"/>
    <w:rsid w:val="00227D1B"/>
    <w:rsid w:val="00233915"/>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69DE"/>
    <w:rsid w:val="003D63E3"/>
    <w:rsid w:val="003D6BB8"/>
    <w:rsid w:val="003E3903"/>
    <w:rsid w:val="003E59B4"/>
    <w:rsid w:val="003F01D4"/>
    <w:rsid w:val="003F0968"/>
    <w:rsid w:val="003F18A5"/>
    <w:rsid w:val="003F2CB8"/>
    <w:rsid w:val="003F60B7"/>
    <w:rsid w:val="0040659E"/>
    <w:rsid w:val="00407808"/>
    <w:rsid w:val="004123C9"/>
    <w:rsid w:val="0042200D"/>
    <w:rsid w:val="00434035"/>
    <w:rsid w:val="00434BF1"/>
    <w:rsid w:val="0043570F"/>
    <w:rsid w:val="00435C27"/>
    <w:rsid w:val="00441C5E"/>
    <w:rsid w:val="00442844"/>
    <w:rsid w:val="004435B2"/>
    <w:rsid w:val="00445D35"/>
    <w:rsid w:val="0044762A"/>
    <w:rsid w:val="00455F92"/>
    <w:rsid w:val="0046403C"/>
    <w:rsid w:val="00471BF5"/>
    <w:rsid w:val="0047205B"/>
    <w:rsid w:val="00476366"/>
    <w:rsid w:val="00480AFA"/>
    <w:rsid w:val="00484A69"/>
    <w:rsid w:val="00485CC8"/>
    <w:rsid w:val="00487A43"/>
    <w:rsid w:val="0049012A"/>
    <w:rsid w:val="00494058"/>
    <w:rsid w:val="004A2F7D"/>
    <w:rsid w:val="004A6B90"/>
    <w:rsid w:val="004A6D76"/>
    <w:rsid w:val="004B10F7"/>
    <w:rsid w:val="004B4B70"/>
    <w:rsid w:val="004C0DEA"/>
    <w:rsid w:val="004C2422"/>
    <w:rsid w:val="004C4405"/>
    <w:rsid w:val="004D29AC"/>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C4E3E"/>
    <w:rsid w:val="005C5C6D"/>
    <w:rsid w:val="005C706A"/>
    <w:rsid w:val="005D051B"/>
    <w:rsid w:val="005D1F57"/>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6227"/>
    <w:rsid w:val="00687249"/>
    <w:rsid w:val="006972D6"/>
    <w:rsid w:val="006A3D00"/>
    <w:rsid w:val="006A701A"/>
    <w:rsid w:val="006A75B5"/>
    <w:rsid w:val="006C3094"/>
    <w:rsid w:val="006C30C3"/>
    <w:rsid w:val="006C49F8"/>
    <w:rsid w:val="006C4EF5"/>
    <w:rsid w:val="006C76C2"/>
    <w:rsid w:val="006D2136"/>
    <w:rsid w:val="006D3D33"/>
    <w:rsid w:val="006D7CB7"/>
    <w:rsid w:val="006E3241"/>
    <w:rsid w:val="006E7A52"/>
    <w:rsid w:val="006F06DC"/>
    <w:rsid w:val="006F2474"/>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52DF"/>
    <w:rsid w:val="00901137"/>
    <w:rsid w:val="009022AB"/>
    <w:rsid w:val="00905DBC"/>
    <w:rsid w:val="00906CBD"/>
    <w:rsid w:val="00907FE0"/>
    <w:rsid w:val="00910679"/>
    <w:rsid w:val="009206BD"/>
    <w:rsid w:val="00922973"/>
    <w:rsid w:val="009257C8"/>
    <w:rsid w:val="009311E6"/>
    <w:rsid w:val="009354B0"/>
    <w:rsid w:val="00940174"/>
    <w:rsid w:val="00940E48"/>
    <w:rsid w:val="00947B00"/>
    <w:rsid w:val="00950A22"/>
    <w:rsid w:val="009761CC"/>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3346"/>
    <w:rsid w:val="00A25128"/>
    <w:rsid w:val="00A3082F"/>
    <w:rsid w:val="00A30C25"/>
    <w:rsid w:val="00A31659"/>
    <w:rsid w:val="00A32522"/>
    <w:rsid w:val="00A3364F"/>
    <w:rsid w:val="00A402AC"/>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2918"/>
    <w:rsid w:val="00B73201"/>
    <w:rsid w:val="00B81406"/>
    <w:rsid w:val="00B81CC7"/>
    <w:rsid w:val="00B8252E"/>
    <w:rsid w:val="00B82889"/>
    <w:rsid w:val="00B83830"/>
    <w:rsid w:val="00B903DA"/>
    <w:rsid w:val="00B93E4E"/>
    <w:rsid w:val="00B942C3"/>
    <w:rsid w:val="00B96330"/>
    <w:rsid w:val="00BA3B2A"/>
    <w:rsid w:val="00BA3D58"/>
    <w:rsid w:val="00BA3F47"/>
    <w:rsid w:val="00BA5663"/>
    <w:rsid w:val="00BB0864"/>
    <w:rsid w:val="00BB37C2"/>
    <w:rsid w:val="00BC4E73"/>
    <w:rsid w:val="00BC586F"/>
    <w:rsid w:val="00BD150C"/>
    <w:rsid w:val="00BD3B89"/>
    <w:rsid w:val="00BE01DE"/>
    <w:rsid w:val="00BE06F2"/>
    <w:rsid w:val="00BE387B"/>
    <w:rsid w:val="00BE3B3B"/>
    <w:rsid w:val="00BF037A"/>
    <w:rsid w:val="00C028D7"/>
    <w:rsid w:val="00C05913"/>
    <w:rsid w:val="00C15F92"/>
    <w:rsid w:val="00C165B5"/>
    <w:rsid w:val="00C17146"/>
    <w:rsid w:val="00C17553"/>
    <w:rsid w:val="00C40F09"/>
    <w:rsid w:val="00C426B3"/>
    <w:rsid w:val="00C438B4"/>
    <w:rsid w:val="00C438F4"/>
    <w:rsid w:val="00C4607E"/>
    <w:rsid w:val="00C516D7"/>
    <w:rsid w:val="00C572F3"/>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6A2D"/>
    <w:rsid w:val="00CC1246"/>
    <w:rsid w:val="00CC1411"/>
    <w:rsid w:val="00CC1A6E"/>
    <w:rsid w:val="00CC1E9B"/>
    <w:rsid w:val="00CC6F4B"/>
    <w:rsid w:val="00CD2A5D"/>
    <w:rsid w:val="00CD45E5"/>
    <w:rsid w:val="00CE2072"/>
    <w:rsid w:val="00CE788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74935"/>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6C01"/>
    <w:rsid w:val="00E20E30"/>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3B4"/>
    <w:rsid w:val="00EB28DA"/>
    <w:rsid w:val="00EB3291"/>
    <w:rsid w:val="00EB62EA"/>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29CC"/>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0272"/>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D7CDD"/>
    <w:rsid w:val="00FE03B6"/>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12"/>
      </w:numPr>
      <w:spacing w:after="160" w:line="260" w:lineRule="exact"/>
    </w:pPr>
    <w:rPr>
      <w:color w:val="000000"/>
      <w:sz w:val="22"/>
      <w:szCs w:val="22"/>
    </w:rPr>
  </w:style>
  <w:style w:type="paragraph" w:customStyle="1" w:styleId="MCCSecondaryList">
    <w:name w:val="MCC_Secondary_List"/>
    <w:basedOn w:val="Normal"/>
    <w:rsid w:val="0047205B"/>
    <w:pPr>
      <w:numPr>
        <w:numId w:val="13"/>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27"/>
      </w:numPr>
      <w:contextualSpacing/>
    </w:pPr>
  </w:style>
  <w:style w:type="paragraph" w:styleId="ListBullet">
    <w:name w:val="List Bullet"/>
    <w:basedOn w:val="Normal"/>
    <w:link w:val="ListBulletChar"/>
    <w:uiPriority w:val="99"/>
    <w:semiHidden/>
    <w:unhideWhenUsed/>
    <w:rsid w:val="00F672C1"/>
    <w:pPr>
      <w:numPr>
        <w:numId w:val="24"/>
      </w:numPr>
      <w:contextualSpacing/>
    </w:pPr>
  </w:style>
  <w:style w:type="numbering" w:customStyle="1" w:styleId="MCCBullets">
    <w:name w:val="MCC_Bullets"/>
    <w:uiPriority w:val="99"/>
    <w:rsid w:val="00680502"/>
    <w:pPr>
      <w:numPr>
        <w:numId w:val="29"/>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36"/>
      </w:numPr>
    </w:pPr>
  </w:style>
  <w:style w:type="numbering" w:customStyle="1" w:styleId="MCCMultiBullet">
    <w:name w:val="MCC Multi Bullet"/>
    <w:uiPriority w:val="99"/>
    <w:rsid w:val="00715587"/>
    <w:pPr>
      <w:numPr>
        <w:numId w:val="37"/>
      </w:numPr>
    </w:pPr>
  </w:style>
  <w:style w:type="paragraph" w:customStyle="1" w:styleId="MCCMulti-list">
    <w:name w:val="MCC Multi-list"/>
    <w:basedOn w:val="MCCPrimaryList"/>
    <w:link w:val="MCCMulti-listChar"/>
    <w:uiPriority w:val="9"/>
    <w:qFormat/>
    <w:rsid w:val="003D63E3"/>
    <w:pPr>
      <w:numPr>
        <w:numId w:val="7"/>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31"/>
      </w:numPr>
    </w:pPr>
  </w:style>
  <w:style w:type="character" w:customStyle="1" w:styleId="MCCMultibulletChar">
    <w:name w:val="MCC Multi bullet Char"/>
    <w:basedOn w:val="MCCBulletedlistChar"/>
    <w:link w:val="MCCMultibullet0"/>
    <w:uiPriority w:val="9"/>
    <w:rsid w:val="0023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c049b6f0afa96c1bf08a618d208101bb">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ec17525d8f0895599f107ca5c6251827"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B115F-6BA0-4BAD-A38D-75BC9F51DD0F}">
  <ds:schemaRefs>
    <ds:schemaRef ds:uri="http://schemas.microsoft.com/sharepoint/v3/contenttype/forms"/>
  </ds:schemaRefs>
</ds:datastoreItem>
</file>

<file path=customXml/itemProps2.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3.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customXml/itemProps4.xml><?xml version="1.0" encoding="utf-8"?>
<ds:datastoreItem xmlns:ds="http://schemas.openxmlformats.org/officeDocument/2006/customXml" ds:itemID="{3FD349E8-2BD2-4F43-AE93-6B67E1977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2</cp:revision>
  <cp:lastPrinted>2017-08-14T21:28:00Z</cp:lastPrinted>
  <dcterms:created xsi:type="dcterms:W3CDTF">2026-10-13T21:02:00Z</dcterms:created>
  <dcterms:modified xsi:type="dcterms:W3CDTF">2026-10-13T21:02:00Z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